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DE" w:rsidRPr="00847ADE" w:rsidRDefault="00847ADE" w:rsidP="00847ADE">
      <w:pPr>
        <w:spacing w:after="0" w:line="240" w:lineRule="auto"/>
        <w:contextualSpacing/>
        <w:jc w:val="center"/>
        <w:rPr>
          <w:rFonts w:ascii="Arial" w:hAnsi="Arial" w:cs="Arial"/>
          <w:b/>
          <w:color w:val="548DD4"/>
          <w:sz w:val="28"/>
          <w:szCs w:val="28"/>
        </w:rPr>
      </w:pPr>
      <w:r>
        <w:rPr>
          <w:rFonts w:ascii="Arial" w:hAnsi="Arial" w:cs="Arial"/>
          <w:b/>
          <w:color w:val="548DD4"/>
          <w:sz w:val="28"/>
          <w:szCs w:val="28"/>
        </w:rPr>
        <w:t>QUEEN EDITH MEDICAL PRACTICE</w:t>
      </w:r>
    </w:p>
    <w:p w:rsidR="00847ADE" w:rsidRDefault="00847ADE" w:rsidP="00847ADE">
      <w:pPr>
        <w:spacing w:after="0" w:line="240" w:lineRule="auto"/>
        <w:contextualSpacing/>
        <w:rPr>
          <w:rFonts w:ascii="Arial" w:hAnsi="Arial" w:cs="Arial"/>
          <w:b/>
          <w:color w:val="548DD4"/>
          <w:sz w:val="28"/>
          <w:szCs w:val="28"/>
          <w:u w:val="single"/>
        </w:rPr>
      </w:pPr>
    </w:p>
    <w:p w:rsidR="00847ADE" w:rsidRPr="00847ADE" w:rsidRDefault="00847ADE" w:rsidP="00847ADE">
      <w:pPr>
        <w:spacing w:after="0" w:line="240" w:lineRule="auto"/>
        <w:contextualSpacing/>
        <w:rPr>
          <w:rFonts w:ascii="Arial" w:hAnsi="Arial" w:cs="Arial"/>
          <w:b/>
          <w:color w:val="548DD4"/>
          <w:sz w:val="28"/>
          <w:szCs w:val="28"/>
          <w:u w:val="single"/>
        </w:rPr>
      </w:pPr>
      <w:r w:rsidRPr="00847ADE">
        <w:rPr>
          <w:rFonts w:ascii="Arial" w:hAnsi="Arial" w:cs="Arial"/>
          <w:b/>
          <w:color w:val="548DD4"/>
          <w:sz w:val="28"/>
          <w:szCs w:val="28"/>
          <w:u w:val="single"/>
        </w:rPr>
        <w:t>Proxy Access</w:t>
      </w:r>
      <w:r>
        <w:rPr>
          <w:rFonts w:ascii="Arial" w:hAnsi="Arial" w:cs="Arial"/>
          <w:b/>
          <w:color w:val="548DD4"/>
          <w:sz w:val="28"/>
          <w:szCs w:val="28"/>
          <w:u w:val="single"/>
        </w:rPr>
        <w:t xml:space="preserve"> – guide for patients</w:t>
      </w:r>
    </w:p>
    <w:p w:rsidR="00847ADE" w:rsidRPr="00847ADE" w:rsidRDefault="00847ADE" w:rsidP="00847ADE">
      <w:pPr>
        <w:spacing w:after="0" w:line="240" w:lineRule="auto"/>
        <w:contextualSpacing/>
        <w:rPr>
          <w:rFonts w:ascii="Arial" w:hAnsi="Arial" w:cs="Arial"/>
          <w:b/>
          <w:u w:val="single"/>
        </w:rPr>
      </w:pPr>
    </w:p>
    <w:p w:rsidR="00847ADE" w:rsidRPr="00847ADE" w:rsidRDefault="00847ADE" w:rsidP="00847ADE">
      <w:pPr>
        <w:spacing w:after="0" w:line="240" w:lineRule="auto"/>
        <w:contextualSpacing/>
        <w:rPr>
          <w:rFonts w:ascii="Arial" w:hAnsi="Arial" w:cs="Arial"/>
          <w:b/>
          <w:u w:val="single"/>
        </w:rPr>
      </w:pPr>
      <w:r w:rsidRPr="00847ADE">
        <w:rPr>
          <w:rFonts w:ascii="Arial" w:hAnsi="Arial" w:cs="Arial"/>
        </w:rPr>
        <w:t xml:space="preserve">A competent patient can choose and consent to allow access to relatives and/or carers. </w:t>
      </w:r>
      <w:proofErr w:type="gramStart"/>
      <w:r>
        <w:rPr>
          <w:rFonts w:ascii="Arial" w:hAnsi="Arial" w:cs="Arial"/>
        </w:rPr>
        <w:t>A ‘Consent</w:t>
      </w:r>
      <w:proofErr w:type="gramEnd"/>
      <w:r>
        <w:rPr>
          <w:rFonts w:ascii="Arial" w:hAnsi="Arial" w:cs="Arial"/>
        </w:rPr>
        <w:t xml:space="preserve"> to proxy access form’ must be completed.</w:t>
      </w:r>
    </w:p>
    <w:p w:rsidR="00847ADE" w:rsidRPr="00847ADE" w:rsidRDefault="00847ADE" w:rsidP="00847ADE">
      <w:pPr>
        <w:spacing w:after="0" w:line="240" w:lineRule="auto"/>
        <w:ind w:left="1080"/>
        <w:contextualSpacing/>
        <w:rPr>
          <w:rFonts w:ascii="Arial" w:hAnsi="Arial" w:cs="Arial"/>
          <w:b/>
          <w:u w:val="single"/>
        </w:rPr>
      </w:pPr>
    </w:p>
    <w:p w:rsidR="00847ADE" w:rsidRPr="00847ADE" w:rsidRDefault="00847ADE" w:rsidP="00847ADE">
      <w:pPr>
        <w:numPr>
          <w:ilvl w:val="0"/>
          <w:numId w:val="3"/>
        </w:numPr>
        <w:spacing w:after="0" w:line="240" w:lineRule="auto"/>
        <w:contextualSpacing/>
        <w:rPr>
          <w:rFonts w:ascii="Arial" w:hAnsi="Arial" w:cs="Arial"/>
          <w:b/>
          <w:u w:val="single"/>
        </w:rPr>
      </w:pPr>
      <w:r w:rsidRPr="00847ADE">
        <w:rPr>
          <w:rFonts w:ascii="Arial" w:hAnsi="Arial" w:cs="Arial"/>
        </w:rPr>
        <w:t xml:space="preserve">If the patient </w:t>
      </w:r>
      <w:r w:rsidRPr="00847ADE">
        <w:rPr>
          <w:rFonts w:ascii="Arial" w:hAnsi="Arial" w:cs="Arial"/>
          <w:b/>
        </w:rPr>
        <w:t>has capacity</w:t>
      </w:r>
      <w:r w:rsidRPr="00847ADE">
        <w:rPr>
          <w:rFonts w:ascii="Arial" w:hAnsi="Arial" w:cs="Arial"/>
        </w:rPr>
        <w:t xml:space="preserve"> to authorise consent they will need to sign the Proxy Access registration form indicating their agreement to the relative/carer having access to their online record. The practice will ensure the level of access granted to the Proxy is appropriate and does not exceed what has been agreed by the patient.</w:t>
      </w:r>
    </w:p>
    <w:p w:rsidR="00847ADE" w:rsidRPr="00847ADE" w:rsidRDefault="00847ADE" w:rsidP="00847ADE">
      <w:pPr>
        <w:spacing w:after="0" w:line="240" w:lineRule="auto"/>
        <w:ind w:left="720"/>
        <w:contextualSpacing/>
        <w:rPr>
          <w:rFonts w:ascii="Arial" w:hAnsi="Arial" w:cs="Arial"/>
          <w:b/>
          <w:u w:val="single"/>
        </w:rPr>
      </w:pPr>
    </w:p>
    <w:p w:rsidR="00847ADE" w:rsidRPr="00847ADE" w:rsidRDefault="00847ADE" w:rsidP="00847ADE">
      <w:pPr>
        <w:numPr>
          <w:ilvl w:val="0"/>
          <w:numId w:val="3"/>
        </w:numPr>
        <w:spacing w:after="0" w:line="240" w:lineRule="auto"/>
        <w:contextualSpacing/>
        <w:rPr>
          <w:rFonts w:ascii="Arial" w:hAnsi="Arial" w:cs="Arial"/>
        </w:rPr>
      </w:pPr>
      <w:r w:rsidRPr="00847ADE">
        <w:rPr>
          <w:rFonts w:ascii="Arial" w:hAnsi="Arial" w:cs="Arial"/>
        </w:rPr>
        <w:t xml:space="preserve">If the patient </w:t>
      </w:r>
      <w:r w:rsidRPr="00847ADE">
        <w:rPr>
          <w:rFonts w:ascii="Arial" w:hAnsi="Arial" w:cs="Arial"/>
          <w:b/>
        </w:rPr>
        <w:t>does not</w:t>
      </w:r>
      <w:r w:rsidRPr="00847ADE">
        <w:rPr>
          <w:rFonts w:ascii="Arial" w:hAnsi="Arial" w:cs="Arial"/>
        </w:rPr>
        <w:t xml:space="preserve"> have capacity to consent to grant Proxy Access and proxy access is considered by the practice to be in the patient’s best interest, the patient </w:t>
      </w:r>
      <w:r w:rsidRPr="00847ADE">
        <w:rPr>
          <w:rFonts w:ascii="Arial" w:hAnsi="Arial" w:cs="Arial"/>
          <w:b/>
          <w:u w:val="single"/>
        </w:rPr>
        <w:t>will not</w:t>
      </w:r>
      <w:r w:rsidRPr="00847ADE">
        <w:rPr>
          <w:rFonts w:ascii="Arial" w:hAnsi="Arial" w:cs="Arial"/>
        </w:rPr>
        <w:t xml:space="preserve"> need to sign the form. </w:t>
      </w:r>
      <w:r w:rsidRPr="00847ADE">
        <w:rPr>
          <w:rFonts w:ascii="Arial" w:hAnsi="Arial" w:cs="Arial"/>
          <w:b/>
        </w:rPr>
        <w:t>This will be decided on a case by case basis and the patient and carer may need an appointment with a clinician to assess competency</w:t>
      </w:r>
      <w:r>
        <w:rPr>
          <w:rFonts w:ascii="Arial" w:hAnsi="Arial" w:cs="Arial"/>
          <w:b/>
        </w:rPr>
        <w:t>*</w:t>
      </w:r>
      <w:r w:rsidRPr="00847ADE">
        <w:rPr>
          <w:rFonts w:ascii="Arial" w:hAnsi="Arial" w:cs="Arial"/>
        </w:rPr>
        <w:t>. The practice will ensure the level of access granted to the Proxy is appropriate to the patient’s needs.</w:t>
      </w:r>
    </w:p>
    <w:p w:rsidR="00847ADE" w:rsidRPr="00847ADE" w:rsidRDefault="00847ADE" w:rsidP="00847ADE">
      <w:pPr>
        <w:spacing w:after="0" w:line="240" w:lineRule="auto"/>
        <w:ind w:left="720"/>
        <w:contextualSpacing/>
        <w:rPr>
          <w:rFonts w:ascii="Arial" w:hAnsi="Arial" w:cs="Arial"/>
          <w:sz w:val="24"/>
          <w:szCs w:val="24"/>
        </w:rPr>
      </w:pPr>
    </w:p>
    <w:p w:rsidR="00847ADE" w:rsidRDefault="00847ADE" w:rsidP="00847ADE">
      <w:pPr>
        <w:spacing w:after="0" w:line="240" w:lineRule="auto"/>
        <w:contextualSpacing/>
        <w:rPr>
          <w:rFonts w:ascii="Arial" w:hAnsi="Arial" w:cs="Arial"/>
          <w:b/>
          <w:u w:val="single"/>
        </w:rPr>
      </w:pPr>
      <w:r w:rsidRPr="00847ADE">
        <w:rPr>
          <w:rFonts w:ascii="Arial" w:hAnsi="Arial" w:cs="Arial"/>
          <w:b/>
          <w:u w:val="single"/>
        </w:rPr>
        <w:t>Access for children, parents and guardians</w:t>
      </w:r>
    </w:p>
    <w:p w:rsidR="00847ADE" w:rsidRDefault="00847ADE" w:rsidP="00847ADE">
      <w:pPr>
        <w:spacing w:after="0" w:line="240" w:lineRule="auto"/>
        <w:contextualSpacing/>
        <w:rPr>
          <w:rFonts w:ascii="Arial" w:hAnsi="Arial" w:cs="Arial"/>
          <w:b/>
          <w:u w:val="single"/>
        </w:rPr>
      </w:pPr>
    </w:p>
    <w:p w:rsidR="00847ADE" w:rsidRPr="00847ADE" w:rsidRDefault="00847ADE" w:rsidP="00847ADE">
      <w:pPr>
        <w:spacing w:after="0" w:line="240" w:lineRule="auto"/>
        <w:contextualSpacing/>
        <w:rPr>
          <w:rFonts w:ascii="Arial" w:hAnsi="Arial" w:cs="Arial"/>
          <w:b/>
        </w:rPr>
      </w:pPr>
      <w:r w:rsidRPr="00847ADE">
        <w:rPr>
          <w:rFonts w:ascii="Arial" w:hAnsi="Arial" w:cs="Arial"/>
          <w:b/>
        </w:rPr>
        <w:t>For Children aged up to 10 years:</w:t>
      </w:r>
    </w:p>
    <w:p w:rsidR="00847ADE" w:rsidRPr="00847ADE" w:rsidRDefault="00847ADE" w:rsidP="00847ADE">
      <w:pPr>
        <w:numPr>
          <w:ilvl w:val="0"/>
          <w:numId w:val="2"/>
        </w:numPr>
        <w:spacing w:after="0" w:line="240" w:lineRule="auto"/>
        <w:contextualSpacing/>
        <w:rPr>
          <w:rFonts w:ascii="Arial" w:hAnsi="Arial" w:cs="Arial"/>
          <w:b/>
          <w:u w:val="single"/>
        </w:rPr>
      </w:pPr>
      <w:r w:rsidRPr="00847ADE">
        <w:rPr>
          <w:rFonts w:ascii="Arial" w:hAnsi="Arial" w:cs="Arial"/>
        </w:rPr>
        <w:t>A parent/carer may apply for Proxy Access for children up to the age of 10 years</w:t>
      </w:r>
      <w:r>
        <w:rPr>
          <w:rFonts w:ascii="Arial" w:hAnsi="Arial" w:cs="Arial"/>
        </w:rPr>
        <w:t xml:space="preserve"> without the need for patient consent</w:t>
      </w:r>
      <w:r w:rsidRPr="00847ADE">
        <w:rPr>
          <w:rFonts w:ascii="Arial" w:hAnsi="Arial" w:cs="Arial"/>
        </w:rPr>
        <w:t>.</w:t>
      </w:r>
    </w:p>
    <w:p w:rsidR="00847ADE" w:rsidRPr="00847ADE" w:rsidRDefault="00847ADE" w:rsidP="00847ADE">
      <w:pPr>
        <w:numPr>
          <w:ilvl w:val="0"/>
          <w:numId w:val="2"/>
        </w:numPr>
        <w:spacing w:after="0" w:line="240" w:lineRule="auto"/>
        <w:contextualSpacing/>
        <w:rPr>
          <w:rFonts w:ascii="Arial" w:hAnsi="Arial" w:cs="Arial"/>
          <w:b/>
          <w:u w:val="single"/>
        </w:rPr>
      </w:pPr>
      <w:r w:rsidRPr="00847ADE">
        <w:rPr>
          <w:rFonts w:ascii="Arial" w:hAnsi="Arial" w:cs="Arial"/>
        </w:rPr>
        <w:t>The parent/carer will need to provide proof of relationship to the child – e.g. Birth Certificate</w:t>
      </w:r>
      <w:r>
        <w:rPr>
          <w:rFonts w:ascii="Arial" w:hAnsi="Arial" w:cs="Arial"/>
        </w:rPr>
        <w:t xml:space="preserve"> as well as 2 proofs of their own ID.</w:t>
      </w:r>
    </w:p>
    <w:p w:rsidR="00847ADE" w:rsidRPr="00847ADE" w:rsidRDefault="00847ADE" w:rsidP="00847ADE">
      <w:pPr>
        <w:numPr>
          <w:ilvl w:val="0"/>
          <w:numId w:val="2"/>
        </w:numPr>
        <w:spacing w:after="0" w:line="240" w:lineRule="auto"/>
        <w:contextualSpacing/>
        <w:rPr>
          <w:rFonts w:ascii="Arial" w:hAnsi="Arial" w:cs="Arial"/>
          <w:b/>
          <w:u w:val="single"/>
        </w:rPr>
      </w:pPr>
      <w:r w:rsidRPr="00847ADE">
        <w:rPr>
          <w:rFonts w:ascii="Arial" w:hAnsi="Arial" w:cs="Arial"/>
        </w:rPr>
        <w:t>Proxy access will automatically be disabled when a child reaches the age of 11.</w:t>
      </w:r>
    </w:p>
    <w:p w:rsidR="00847ADE" w:rsidRDefault="00847ADE" w:rsidP="00847ADE">
      <w:pPr>
        <w:spacing w:after="0" w:line="240" w:lineRule="auto"/>
        <w:ind w:left="1080"/>
        <w:contextualSpacing/>
        <w:rPr>
          <w:rFonts w:ascii="Arial" w:hAnsi="Arial" w:cs="Arial"/>
        </w:rPr>
      </w:pPr>
    </w:p>
    <w:p w:rsidR="00847ADE" w:rsidRPr="00847ADE" w:rsidRDefault="00847ADE" w:rsidP="00847ADE">
      <w:pPr>
        <w:spacing w:after="0" w:line="240" w:lineRule="auto"/>
        <w:contextualSpacing/>
        <w:rPr>
          <w:rFonts w:ascii="Arial" w:hAnsi="Arial" w:cs="Arial"/>
          <w:b/>
          <w:u w:val="single"/>
        </w:rPr>
      </w:pPr>
      <w:r w:rsidRPr="00847ADE">
        <w:rPr>
          <w:rFonts w:ascii="Arial" w:hAnsi="Arial" w:cs="Arial"/>
          <w:b/>
        </w:rPr>
        <w:t>For children aged 11 – 15 years:</w:t>
      </w:r>
    </w:p>
    <w:p w:rsidR="00847ADE" w:rsidRPr="00847ADE" w:rsidRDefault="00847ADE" w:rsidP="00847ADE">
      <w:pPr>
        <w:numPr>
          <w:ilvl w:val="0"/>
          <w:numId w:val="2"/>
        </w:numPr>
        <w:spacing w:after="0" w:line="240" w:lineRule="auto"/>
        <w:contextualSpacing/>
        <w:rPr>
          <w:rFonts w:ascii="Arial" w:hAnsi="Arial" w:cs="Arial"/>
          <w:b/>
          <w:u w:val="single"/>
        </w:rPr>
      </w:pPr>
      <w:r w:rsidRPr="00847ADE">
        <w:rPr>
          <w:rFonts w:ascii="Arial" w:hAnsi="Arial" w:cs="Arial"/>
        </w:rPr>
        <w:t>A competency assessment will then need to be carried out with a clinician</w:t>
      </w:r>
      <w:r>
        <w:rPr>
          <w:rFonts w:ascii="Arial" w:hAnsi="Arial" w:cs="Arial"/>
        </w:rPr>
        <w:t>*</w:t>
      </w:r>
      <w:r w:rsidRPr="00847ADE">
        <w:rPr>
          <w:rFonts w:ascii="Arial" w:hAnsi="Arial" w:cs="Arial"/>
        </w:rPr>
        <w:t xml:space="preserve"> to ascertain if the child is able to make an informed choice regarding access to their records.</w:t>
      </w:r>
    </w:p>
    <w:p w:rsidR="00847ADE" w:rsidRPr="00847ADE" w:rsidRDefault="00847ADE" w:rsidP="00847ADE">
      <w:pPr>
        <w:numPr>
          <w:ilvl w:val="0"/>
          <w:numId w:val="2"/>
        </w:numPr>
        <w:spacing w:after="0" w:line="240" w:lineRule="auto"/>
        <w:contextualSpacing/>
        <w:rPr>
          <w:rFonts w:ascii="Arial" w:hAnsi="Arial" w:cs="Arial"/>
          <w:b/>
          <w:u w:val="single"/>
        </w:rPr>
      </w:pPr>
      <w:r w:rsidRPr="00847ADE">
        <w:rPr>
          <w:rFonts w:ascii="Arial" w:hAnsi="Arial" w:cs="Arial"/>
        </w:rPr>
        <w:t>A child deemed competent may have access to their online record independently or authorise a parent/carer to have Proxy Access. If authorising Proxy Access the child will need to sign the Proxy Access registration form indicating that their consent.</w:t>
      </w:r>
    </w:p>
    <w:p w:rsidR="00847ADE" w:rsidRPr="00847ADE" w:rsidRDefault="00847ADE" w:rsidP="00847ADE">
      <w:pPr>
        <w:numPr>
          <w:ilvl w:val="0"/>
          <w:numId w:val="2"/>
        </w:numPr>
        <w:spacing w:after="0" w:line="240" w:lineRule="auto"/>
        <w:contextualSpacing/>
        <w:rPr>
          <w:rFonts w:ascii="Arial" w:hAnsi="Arial" w:cs="Arial"/>
          <w:b/>
          <w:u w:val="single"/>
        </w:rPr>
      </w:pPr>
      <w:r w:rsidRPr="00847ADE">
        <w:rPr>
          <w:rFonts w:ascii="Arial" w:hAnsi="Arial" w:cs="Arial"/>
        </w:rPr>
        <w:t xml:space="preserve">Where a child is deemed </w:t>
      </w:r>
      <w:r w:rsidRPr="00847ADE">
        <w:rPr>
          <w:rFonts w:ascii="Arial" w:hAnsi="Arial" w:cs="Arial"/>
          <w:b/>
        </w:rPr>
        <w:t>not</w:t>
      </w:r>
      <w:r w:rsidRPr="00847ADE">
        <w:rPr>
          <w:rFonts w:ascii="Arial" w:hAnsi="Arial" w:cs="Arial"/>
        </w:rPr>
        <w:t xml:space="preserve"> to be competent, a parent/guardian/carer can apply again for Proxy Access and the child will not need to sign the Proxy Access Registration Form</w:t>
      </w:r>
      <w:r w:rsidRPr="00847ADE">
        <w:rPr>
          <w:rFonts w:ascii="Arial" w:hAnsi="Arial" w:cs="Arial"/>
          <w:b/>
        </w:rPr>
        <w:t>. (</w:t>
      </w:r>
      <w:r w:rsidRPr="00847ADE">
        <w:rPr>
          <w:rFonts w:ascii="Arial" w:hAnsi="Arial" w:cs="Arial"/>
        </w:rPr>
        <w:t>This will be reviewed by the practice annually, or when the child attends a further appointment – whichever is the sooner)</w:t>
      </w:r>
    </w:p>
    <w:p w:rsidR="00847ADE" w:rsidRDefault="00847ADE" w:rsidP="00847ADE">
      <w:pPr>
        <w:numPr>
          <w:ilvl w:val="0"/>
          <w:numId w:val="2"/>
        </w:numPr>
        <w:spacing w:after="0" w:line="240" w:lineRule="auto"/>
        <w:ind w:left="1440"/>
        <w:contextualSpacing/>
        <w:rPr>
          <w:rFonts w:ascii="Arial" w:hAnsi="Arial" w:cs="Arial"/>
        </w:rPr>
      </w:pPr>
      <w:r w:rsidRPr="00847ADE">
        <w:rPr>
          <w:rFonts w:ascii="Arial" w:hAnsi="Arial" w:cs="Arial"/>
        </w:rPr>
        <w:t>The practice will aim to contact parents/carers of children approaching  their 11th birthday to remind them that online access could potentially cease, and invite them to come to the surgery for a discussion regarding options available</w:t>
      </w:r>
    </w:p>
    <w:p w:rsidR="00847ADE" w:rsidRDefault="00847ADE" w:rsidP="00847ADE">
      <w:pPr>
        <w:spacing w:after="0" w:line="240" w:lineRule="auto"/>
        <w:contextualSpacing/>
        <w:rPr>
          <w:rFonts w:ascii="Arial" w:hAnsi="Arial" w:cs="Arial"/>
        </w:rPr>
      </w:pPr>
    </w:p>
    <w:p w:rsidR="00847ADE" w:rsidRDefault="00847ADE" w:rsidP="00847ADE">
      <w:pPr>
        <w:spacing w:after="0" w:line="240" w:lineRule="auto"/>
        <w:contextualSpacing/>
        <w:rPr>
          <w:rFonts w:ascii="Arial" w:hAnsi="Arial" w:cs="Arial"/>
        </w:rPr>
      </w:pPr>
    </w:p>
    <w:p w:rsidR="00847ADE" w:rsidRPr="00847ADE" w:rsidRDefault="00847ADE" w:rsidP="00847ADE">
      <w:pPr>
        <w:spacing w:after="0" w:line="240" w:lineRule="auto"/>
        <w:contextualSpacing/>
        <w:jc w:val="center"/>
        <w:rPr>
          <w:rFonts w:ascii="Arial" w:hAnsi="Arial" w:cs="Arial"/>
          <w:b/>
          <w:sz w:val="24"/>
          <w:szCs w:val="24"/>
        </w:rPr>
      </w:pPr>
      <w:r w:rsidRPr="00847ADE">
        <w:rPr>
          <w:rFonts w:ascii="Arial" w:hAnsi="Arial" w:cs="Arial"/>
          <w:b/>
          <w:sz w:val="24"/>
          <w:szCs w:val="24"/>
        </w:rPr>
        <w:t>If an appointment is required to asses</w:t>
      </w:r>
      <w:r>
        <w:rPr>
          <w:rFonts w:ascii="Arial" w:hAnsi="Arial" w:cs="Arial"/>
          <w:b/>
          <w:sz w:val="24"/>
          <w:szCs w:val="24"/>
        </w:rPr>
        <w:t>s</w:t>
      </w:r>
      <w:r w:rsidRPr="00847ADE">
        <w:rPr>
          <w:rFonts w:ascii="Arial" w:hAnsi="Arial" w:cs="Arial"/>
          <w:b/>
          <w:sz w:val="24"/>
          <w:szCs w:val="24"/>
        </w:rPr>
        <w:t xml:space="preserve"> competency</w:t>
      </w:r>
      <w:r>
        <w:rPr>
          <w:rFonts w:ascii="Arial" w:hAnsi="Arial" w:cs="Arial"/>
          <w:b/>
          <w:sz w:val="24"/>
          <w:szCs w:val="24"/>
        </w:rPr>
        <w:t>,</w:t>
      </w:r>
      <w:r w:rsidRPr="00847ADE">
        <w:rPr>
          <w:rFonts w:ascii="Arial" w:hAnsi="Arial" w:cs="Arial"/>
          <w:b/>
          <w:sz w:val="24"/>
          <w:szCs w:val="24"/>
        </w:rPr>
        <w:t xml:space="preserve"> the receptionist will arrange this for you. Both the patient and the person requesting proxy access must attend the appointment.</w:t>
      </w:r>
    </w:p>
    <w:p w:rsidR="00847ADE" w:rsidRDefault="00847ADE" w:rsidP="00847ADE">
      <w:pPr>
        <w:jc w:val="center"/>
        <w:rPr>
          <w:b/>
          <w:sz w:val="24"/>
          <w:szCs w:val="24"/>
        </w:rPr>
      </w:pPr>
    </w:p>
    <w:p w:rsidR="00847ADE" w:rsidRPr="00847ADE" w:rsidRDefault="00847ADE" w:rsidP="00847ADE">
      <w:pPr>
        <w:jc w:val="right"/>
        <w:rPr>
          <w:b/>
          <w:sz w:val="24"/>
          <w:szCs w:val="24"/>
        </w:rPr>
      </w:pPr>
      <w:bookmarkStart w:id="0" w:name="_GoBack"/>
      <w:bookmarkEnd w:id="0"/>
      <w:r>
        <w:rPr>
          <w:b/>
          <w:sz w:val="24"/>
          <w:szCs w:val="24"/>
        </w:rPr>
        <w:t>April 2016</w:t>
      </w:r>
    </w:p>
    <w:sectPr w:rsidR="00847ADE" w:rsidRPr="00847A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45992"/>
    <w:multiLevelType w:val="hybridMultilevel"/>
    <w:tmpl w:val="5F501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1531E9"/>
    <w:multiLevelType w:val="hybridMultilevel"/>
    <w:tmpl w:val="0590B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FD5D83"/>
    <w:multiLevelType w:val="hybridMultilevel"/>
    <w:tmpl w:val="6D78201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DE"/>
    <w:rsid w:val="00847ADE"/>
    <w:rsid w:val="00C127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AD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ADE"/>
    <w:pPr>
      <w:ind w:left="720"/>
      <w:contextualSpacing/>
    </w:pPr>
  </w:style>
  <w:style w:type="paragraph" w:styleId="BodyText2">
    <w:name w:val="Body Text 2"/>
    <w:basedOn w:val="BodyText"/>
    <w:link w:val="BodyText2Char"/>
    <w:uiPriority w:val="99"/>
    <w:unhideWhenUsed/>
    <w:rsid w:val="00847ADE"/>
    <w:pPr>
      <w:pBdr>
        <w:top w:val="nil"/>
        <w:left w:val="nil"/>
        <w:bottom w:val="nil"/>
        <w:right w:val="nil"/>
        <w:between w:val="nil"/>
        <w:bar w:val="nil"/>
      </w:pBdr>
      <w:spacing w:after="0" w:line="320" w:lineRule="exact"/>
      <w:jc w:val="center"/>
    </w:pPr>
    <w:rPr>
      <w:rFonts w:eastAsia="Arial Unicode MS" w:cs="Calibri"/>
      <w:i/>
      <w:color w:val="990033"/>
      <w:sz w:val="28"/>
      <w:szCs w:val="24"/>
      <w:bdr w:val="nil"/>
      <w:lang w:val="en-US"/>
    </w:rPr>
  </w:style>
  <w:style w:type="character" w:customStyle="1" w:styleId="BodyText2Char">
    <w:name w:val="Body Text 2 Char"/>
    <w:basedOn w:val="DefaultParagraphFont"/>
    <w:link w:val="BodyText2"/>
    <w:uiPriority w:val="99"/>
    <w:rsid w:val="00847ADE"/>
    <w:rPr>
      <w:rFonts w:ascii="Calibri" w:eastAsia="Arial Unicode MS" w:hAnsi="Calibri" w:cs="Calibri"/>
      <w:i/>
      <w:color w:val="990033"/>
      <w:sz w:val="28"/>
      <w:szCs w:val="24"/>
      <w:bdr w:val="nil"/>
      <w:lang w:val="en-US"/>
    </w:rPr>
  </w:style>
  <w:style w:type="paragraph" w:styleId="BodyText">
    <w:name w:val="Body Text"/>
    <w:basedOn w:val="Normal"/>
    <w:link w:val="BodyTextChar"/>
    <w:uiPriority w:val="99"/>
    <w:semiHidden/>
    <w:unhideWhenUsed/>
    <w:rsid w:val="00847ADE"/>
    <w:pPr>
      <w:spacing w:after="120"/>
    </w:pPr>
  </w:style>
  <w:style w:type="character" w:customStyle="1" w:styleId="BodyTextChar">
    <w:name w:val="Body Text Char"/>
    <w:basedOn w:val="DefaultParagraphFont"/>
    <w:link w:val="BodyText"/>
    <w:uiPriority w:val="99"/>
    <w:semiHidden/>
    <w:rsid w:val="00847AD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AD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ADE"/>
    <w:pPr>
      <w:ind w:left="720"/>
      <w:contextualSpacing/>
    </w:pPr>
  </w:style>
  <w:style w:type="paragraph" w:styleId="BodyText2">
    <w:name w:val="Body Text 2"/>
    <w:basedOn w:val="BodyText"/>
    <w:link w:val="BodyText2Char"/>
    <w:uiPriority w:val="99"/>
    <w:unhideWhenUsed/>
    <w:rsid w:val="00847ADE"/>
    <w:pPr>
      <w:pBdr>
        <w:top w:val="nil"/>
        <w:left w:val="nil"/>
        <w:bottom w:val="nil"/>
        <w:right w:val="nil"/>
        <w:between w:val="nil"/>
        <w:bar w:val="nil"/>
      </w:pBdr>
      <w:spacing w:after="0" w:line="320" w:lineRule="exact"/>
      <w:jc w:val="center"/>
    </w:pPr>
    <w:rPr>
      <w:rFonts w:eastAsia="Arial Unicode MS" w:cs="Calibri"/>
      <w:i/>
      <w:color w:val="990033"/>
      <w:sz w:val="28"/>
      <w:szCs w:val="24"/>
      <w:bdr w:val="nil"/>
      <w:lang w:val="en-US"/>
    </w:rPr>
  </w:style>
  <w:style w:type="character" w:customStyle="1" w:styleId="BodyText2Char">
    <w:name w:val="Body Text 2 Char"/>
    <w:basedOn w:val="DefaultParagraphFont"/>
    <w:link w:val="BodyText2"/>
    <w:uiPriority w:val="99"/>
    <w:rsid w:val="00847ADE"/>
    <w:rPr>
      <w:rFonts w:ascii="Calibri" w:eastAsia="Arial Unicode MS" w:hAnsi="Calibri" w:cs="Calibri"/>
      <w:i/>
      <w:color w:val="990033"/>
      <w:sz w:val="28"/>
      <w:szCs w:val="24"/>
      <w:bdr w:val="nil"/>
      <w:lang w:val="en-US"/>
    </w:rPr>
  </w:style>
  <w:style w:type="paragraph" w:styleId="BodyText">
    <w:name w:val="Body Text"/>
    <w:basedOn w:val="Normal"/>
    <w:link w:val="BodyTextChar"/>
    <w:uiPriority w:val="99"/>
    <w:semiHidden/>
    <w:unhideWhenUsed/>
    <w:rsid w:val="00847ADE"/>
    <w:pPr>
      <w:spacing w:after="120"/>
    </w:pPr>
  </w:style>
  <w:style w:type="character" w:customStyle="1" w:styleId="BodyTextChar">
    <w:name w:val="Body Text Char"/>
    <w:basedOn w:val="DefaultParagraphFont"/>
    <w:link w:val="BodyText"/>
    <w:uiPriority w:val="99"/>
    <w:semiHidden/>
    <w:rsid w:val="00847AD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PrimaryCare</dc:creator>
  <cp:lastModifiedBy>PrimaryCare</cp:lastModifiedBy>
  <cp:revision>1</cp:revision>
  <dcterms:created xsi:type="dcterms:W3CDTF">2016-04-01T07:36:00Z</dcterms:created>
  <dcterms:modified xsi:type="dcterms:W3CDTF">2016-04-01T08:08:00Z</dcterms:modified>
</cp:coreProperties>
</file>